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6AE5" w:rsidRPr="00B16AE5" w:rsidRDefault="00B16AE5" w:rsidP="00B16AE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16AE5">
        <w:rPr>
          <w:b/>
          <w:bCs/>
          <w:color w:val="333333"/>
          <w:sz w:val="28"/>
          <w:szCs w:val="28"/>
        </w:rPr>
        <w:t>Оплата покупок в магазине чужой банковской картой без согласия собственника: кража или мошенничество</w:t>
      </w:r>
      <w:bookmarkEnd w:id="0"/>
      <w:r w:rsidRPr="00B16AE5">
        <w:rPr>
          <w:b/>
          <w:bCs/>
          <w:color w:val="333333"/>
          <w:sz w:val="28"/>
          <w:szCs w:val="28"/>
        </w:rPr>
        <w:t>?</w:t>
      </w:r>
    </w:p>
    <w:p w:rsidR="00B16AE5" w:rsidRPr="00B16AE5" w:rsidRDefault="00B16AE5" w:rsidP="00B16AE5">
      <w:pPr>
        <w:shd w:val="clear" w:color="auto" w:fill="FFFFFF"/>
        <w:contextualSpacing/>
        <w:rPr>
          <w:color w:val="000000"/>
          <w:sz w:val="28"/>
          <w:szCs w:val="28"/>
        </w:rPr>
      </w:pPr>
      <w:r w:rsidRPr="00B16AE5">
        <w:rPr>
          <w:color w:val="000000"/>
          <w:sz w:val="28"/>
          <w:szCs w:val="28"/>
        </w:rPr>
        <w:t> </w:t>
      </w:r>
      <w:r w:rsidRPr="00B16AE5">
        <w:rPr>
          <w:color w:val="FFFFFF"/>
          <w:sz w:val="28"/>
          <w:szCs w:val="28"/>
        </w:rPr>
        <w:t>Текст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Действия по использованию чужой банковской карты (в том числе найденной) в целях оплаты товаров и услуг без согласия на то собственника денежных средств являются хищением чужого имущества.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Карта представляет собой электронное средство платежа и одновременно привязана к банковскому счету ее владельца.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Часть 1 статьи 159.3 Уголовного кодекса РФ предусматривает уголовную ответственность за мошенничество с использованием электронных средств платежа. Максимальное наказание за данное преступление не превышает 3-х лет лишения свободы, в связи с чем преступление относится к категории небольшой тяжести. Ответственность наступает при причинении ущерба собственнику свыше 2 500 рублей.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Пунктом «г» части 3 статьи 158 Уголовного кодекса Российской Федерации предусмотрена уголовная ответственность за кражу имущества с банковского счета (при отсутствии признаков преступления, предусмотренного статьей 159.3 УК РФ). Максимальное наказание за данное преступление составляет до 6-ти лет лишения свободы, в связи с чем преступление относится к категории тяжких. Ответственность наступает независимо от суммы причиненного ущерба и дела по данной категории не подлежат прекращению ввиду тяжести преступления.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Действующим законодательством на работников торговых организаций, осуществляющих платежные операции с банковскими картами, обязанность идентификации их держателей по документам, удостоверяющим личность, не возлагается.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Верховный Суд Российской Федерации разъяснил, что хищение злоумышленником денежных средств в таких случаях квалифицируется как кража (пункт 17 постановления Пленума от 30.11.2017 № 48 «О судебной практике по делам о мошенничестве, присвоении и растрате»; пункт 25.1 постановления Пленума от 27.12.2002 № 29 «О судебной практике по делам о краже, грабеже и разбое»).</w:t>
      </w:r>
    </w:p>
    <w:p w:rsidR="00B16AE5" w:rsidRPr="00B16AE5" w:rsidRDefault="00B16AE5" w:rsidP="00B16AE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16AE5">
        <w:rPr>
          <w:color w:val="333333"/>
          <w:sz w:val="28"/>
          <w:szCs w:val="28"/>
        </w:rPr>
        <w:t>Таким образом, иная оценка действиям виновного не может быть дана, и они квалифицируются по п. «г» ч. 3 ст. 158 УК РФ.</w:t>
      </w:r>
    </w:p>
    <w:p w:rsidR="00B63071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A6841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5FE4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2023-04-27T03:27:00Z</dcterms:created>
  <dcterms:modified xsi:type="dcterms:W3CDTF">2023-04-27T03:27:00Z</dcterms:modified>
</cp:coreProperties>
</file>